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 xml:space="preserve">On behalf of the scientific committee and conference organizers, University of Zagreb, Faculty of Forestry and IUFRO Unit 4.05.00 – Managerial economics and accounting </w:t>
      </w:r>
      <w:r w:rsidRPr="00A64BED">
        <w:rPr>
          <w:u w:val="single"/>
          <w:lang w:val="hr-HR"/>
        </w:rPr>
        <w:t>organising International Conference:</w:t>
      </w:r>
      <w:r w:rsidRPr="00A64BED">
        <w:rPr>
          <w:lang w:val="hr-HR"/>
        </w:rPr>
        <w:t xml:space="preserve">  </w:t>
      </w:r>
      <w:r w:rsidRPr="00A64BED">
        <w:rPr>
          <w:b/>
          <w:bCs/>
          <w:lang w:val="hr-HR"/>
        </w:rPr>
        <w:t>SUSTAINABLE FOREST MANAGEMENT FOR THE FUTURE</w:t>
      </w:r>
      <w:r w:rsidRPr="00A64BED">
        <w:rPr>
          <w:lang w:val="hr-HR"/>
        </w:rPr>
        <w:t xml:space="preserve"> - the role of managerial economics and accounting. The conference will take place in </w:t>
      </w:r>
      <w:r w:rsidRPr="00A64BED">
        <w:rPr>
          <w:b/>
          <w:bCs/>
          <w:lang w:val="hr-HR"/>
        </w:rPr>
        <w:t xml:space="preserve">Zagreb, Croatia, May 10-12, 2018. 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The post-conference tour will be in the National park Plitvička jezera.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 </w:t>
      </w:r>
      <w:r w:rsidRPr="00A64BED">
        <w:rPr>
          <w:lang w:val="hr-HR"/>
        </w:rPr>
        <w:t xml:space="preserve">The main issues to be covered in the symposium are recent developments in the following areas: 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Forest economics and accounting (investment analysis, present forest management for future wood industry needs)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Managerial economics and accounting in forestry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Forestry economics and accounting in Latin America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Regional, national, social and environmental accounting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New economic instruments, regulations, policies, and organizations in view of emerging needs of society from forest ecosystems. The role of forestry in bio-based industry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Forest development and management in the light of global change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New approaches in forest management to increase the ability for adaptation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Economic impact assessment of environmental, social and economic changes on forest management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Economic evaluation of forest- and timber trade-related policies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Financial modeling of forest management under changing framework conditions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Lessons from long-term forest-related economic data systems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Opportunities related to the development of payments for ecosystem services and consequences for forest management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Shifts in supply and demand for non-market products and services of forests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The role of decision support systems in adaptation to shifting framework conditions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Managing long-term risks in forestry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Awareness and perception of long-term changes in framework conditions among forest related stakeholders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Understanding of sustainability under changing framework conditions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Transdisciplinary research in forest management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•             Contributions in the fields of environmental, social, regional and national accounting.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 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b/>
          <w:bCs/>
          <w:lang w:val="hr-HR"/>
        </w:rPr>
        <w:lastRenderedPageBreak/>
        <w:t>Importa</w:t>
      </w:r>
      <w:bookmarkStart w:id="0" w:name="_GoBack"/>
      <w:bookmarkEnd w:id="0"/>
      <w:r w:rsidRPr="00A64BED">
        <w:rPr>
          <w:b/>
          <w:bCs/>
          <w:lang w:val="hr-HR"/>
        </w:rPr>
        <w:t>nt dates: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Registration and submission of extended abstract: February 15th 2018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Notice on accepted abstracts: February 28th 2018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Transfer of registration fee: April 1st 2018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Submission of full text for the SEEFOR Journal: June 30th 2018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 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lang w:val="hr-HR"/>
        </w:rPr>
        <w:t>Web page will be active soon (</w:t>
      </w:r>
      <w:hyperlink r:id="rId4" w:tgtFrame="_blank" w:history="1">
        <w:r w:rsidRPr="00A64BED">
          <w:rPr>
            <w:rStyle w:val="Hipercze"/>
            <w:lang w:val="hr-HR"/>
          </w:rPr>
          <w:t>ww.sumins.hr</w:t>
        </w:r>
      </w:hyperlink>
      <w:r w:rsidRPr="00A64BED">
        <w:rPr>
          <w:lang w:val="hr-HR"/>
        </w:rPr>
        <w:t>).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 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Please consider your participation and hope to see you in Zagreb.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 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With best regards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1F497D"/>
          <w:lang w:val="hr-HR"/>
        </w:rPr>
        <w:t> 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b/>
          <w:bCs/>
          <w:color w:val="000000"/>
          <w:lang w:val="hr-HR"/>
        </w:rPr>
        <w:t>Associate Professor Stjepan Posavec, Ph. D.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i/>
          <w:iCs/>
          <w:color w:val="000000"/>
          <w:lang w:val="hr-HR"/>
        </w:rPr>
        <w:t>Department of Forest Inventory and Management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i/>
          <w:iCs/>
          <w:color w:val="000000"/>
          <w:lang w:val="hr-HR"/>
        </w:rPr>
        <w:t>Forest Economics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i/>
          <w:iCs/>
          <w:color w:val="000000"/>
          <w:lang w:val="hr-HR"/>
        </w:rPr>
        <w:t>University of Zagreb - Faculty of Forestry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000000"/>
          <w:lang w:val="hr-HR"/>
        </w:rPr>
        <w:t>Svetošimunska 25, 10000 Zagreb, Croatia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000000"/>
          <w:lang w:val="hr-HR"/>
        </w:rPr>
        <w:t xml:space="preserve">Phone: </w:t>
      </w:r>
      <w:hyperlink r:id="rId5" w:tgtFrame="_blank" w:history="1">
        <w:r w:rsidRPr="00A64BED">
          <w:rPr>
            <w:rStyle w:val="Hipercze"/>
            <w:lang w:val="hr-HR"/>
          </w:rPr>
          <w:t>+385 1 235 2455</w:t>
        </w:r>
      </w:hyperlink>
      <w:r w:rsidRPr="00A64BED">
        <w:rPr>
          <w:color w:val="000000"/>
          <w:lang w:val="hr-HR"/>
        </w:rPr>
        <w:t xml:space="preserve">, </w:t>
      </w:r>
    </w:p>
    <w:p w:rsidR="00A64BED" w:rsidRPr="00A64BED" w:rsidRDefault="00A64BED" w:rsidP="00A64BED">
      <w:pPr>
        <w:spacing w:line="360" w:lineRule="auto"/>
        <w:rPr>
          <w:lang w:val="en-GB"/>
        </w:rPr>
      </w:pPr>
      <w:r w:rsidRPr="00A64BED">
        <w:rPr>
          <w:color w:val="000000"/>
          <w:lang w:val="hr-HR"/>
        </w:rPr>
        <w:t>E-mail:</w:t>
      </w:r>
      <w:r w:rsidRPr="00A64BED">
        <w:rPr>
          <w:color w:val="1F497D"/>
          <w:lang w:val="hr-HR"/>
        </w:rPr>
        <w:t xml:space="preserve"> </w:t>
      </w:r>
      <w:hyperlink r:id="rId6" w:tgtFrame="_blank" w:history="1">
        <w:r w:rsidRPr="00A64BED">
          <w:rPr>
            <w:rStyle w:val="Hipercze"/>
            <w:color w:val="1F497D"/>
            <w:lang w:val="en-GB"/>
          </w:rPr>
          <w:t>sposavec@sumfak.hr</w:t>
        </w:r>
      </w:hyperlink>
    </w:p>
    <w:p w:rsidR="00D57809" w:rsidRPr="00A64BED" w:rsidRDefault="00D57809" w:rsidP="00A64BED">
      <w:pPr>
        <w:spacing w:line="360" w:lineRule="auto"/>
      </w:pPr>
    </w:p>
    <w:sectPr w:rsidR="00D57809" w:rsidRPr="00A6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ED"/>
    <w:rsid w:val="00A64BED"/>
    <w:rsid w:val="00D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14FE-AE0F-41F6-9FF1-C76E47E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B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4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zic@sumfak.hr" TargetMode="External"/><Relationship Id="rId5" Type="http://schemas.openxmlformats.org/officeDocument/2006/relationships/hyperlink" Target="tel:+385%201%202352%20455" TargetMode="External"/><Relationship Id="rId4" Type="http://schemas.openxmlformats.org/officeDocument/2006/relationships/hyperlink" Target="http://ww.sumins.h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Małecka</dc:creator>
  <cp:keywords/>
  <dc:description/>
  <cp:lastModifiedBy>Monika Małecka</cp:lastModifiedBy>
  <cp:revision>1</cp:revision>
  <dcterms:created xsi:type="dcterms:W3CDTF">2017-11-17T08:26:00Z</dcterms:created>
  <dcterms:modified xsi:type="dcterms:W3CDTF">2017-11-17T08:28:00Z</dcterms:modified>
</cp:coreProperties>
</file>