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2F" w:rsidRDefault="000C382F">
      <w:pPr>
        <w:rPr>
          <w:b/>
          <w:bCs/>
        </w:rPr>
      </w:pPr>
      <w:r w:rsidRPr="0069455A">
        <w:rPr>
          <w:b/>
          <w:bCs/>
        </w:rPr>
        <w:t>Organizatorzy konferencji</w:t>
      </w:r>
      <w:r>
        <w:rPr>
          <w:b/>
          <w:bCs/>
        </w:rPr>
        <w:t xml:space="preserve">: </w:t>
      </w:r>
    </w:p>
    <w:p w:rsidR="000C382F" w:rsidRPr="0069455A" w:rsidRDefault="000C382F">
      <w:r w:rsidRPr="0069455A">
        <w:t>Zakład Bioróżnorodności Leśnej UR w Krakowie oraz Tatrzański Park Narodowy</w:t>
      </w:r>
    </w:p>
    <w:p w:rsidR="000C382F" w:rsidRPr="00DC15EF" w:rsidRDefault="000C382F">
      <w:pPr>
        <w:rPr>
          <w:b/>
          <w:bCs/>
        </w:rPr>
      </w:pPr>
      <w:r w:rsidRPr="00DC15EF">
        <w:rPr>
          <w:b/>
          <w:bCs/>
        </w:rPr>
        <w:t xml:space="preserve">Temat konferencji: </w:t>
      </w:r>
    </w:p>
    <w:p w:rsidR="000C382F" w:rsidRDefault="000C382F">
      <w:r>
        <w:t>Ochrona ścisła w parkach narodowych i rezerwatach; bilans osiągnięć i porażek ostatniego półwiecza</w:t>
      </w:r>
    </w:p>
    <w:p w:rsidR="000C382F" w:rsidRPr="002E3E30" w:rsidRDefault="000C382F">
      <w:pPr>
        <w:rPr>
          <w:b/>
          <w:bCs/>
        </w:rPr>
      </w:pPr>
      <w:r w:rsidRPr="00DC15EF">
        <w:rPr>
          <w:b/>
          <w:bCs/>
        </w:rPr>
        <w:t xml:space="preserve">Czas: </w:t>
      </w:r>
      <w:r>
        <w:rPr>
          <w:b/>
          <w:bCs/>
        </w:rPr>
        <w:t xml:space="preserve"> </w:t>
      </w:r>
      <w:r>
        <w:t>7-9 czerwca 2017 (środa-piątek)</w:t>
      </w:r>
    </w:p>
    <w:p w:rsidR="000C382F" w:rsidRDefault="000C382F">
      <w:r w:rsidRPr="00DC15EF">
        <w:rPr>
          <w:b/>
          <w:bCs/>
        </w:rPr>
        <w:t>Miejsce</w:t>
      </w:r>
      <w:r>
        <w:t>: Wydział Leśny UR w Krakowie oraz Zakopane (siedziba TPN) i Tatry</w:t>
      </w:r>
    </w:p>
    <w:p w:rsidR="000C382F" w:rsidRPr="00EB3D42" w:rsidRDefault="000C382F">
      <w:pPr>
        <w:rPr>
          <w:b/>
          <w:bCs/>
        </w:rPr>
      </w:pPr>
      <w:r w:rsidRPr="00EB3D42">
        <w:rPr>
          <w:b/>
          <w:bCs/>
        </w:rPr>
        <w:t>Cel konferencji</w:t>
      </w:r>
    </w:p>
    <w:p w:rsidR="000C382F" w:rsidRDefault="000C382F">
      <w:r>
        <w:t>Celem konferencji jest zarówno spojrzenie na ścisłą ochronę przyrody z perspektywy współczesnej ekologii (funkcjonowanie metapopulacji, populacje typu 'źródło" i typu "ujście", problematyka dyspersji gatunków), jak również analiza sukcesów i porażek systemu ochrony ścisłej w parkach narodowych i rezerwatach przyrody oraz problematyka kształtowania relacji między ochroną ścisłą a ochroną czynną w planach ochrony. Liczymy na uczestnictwo zarówno naukowców, jak i praktyków: pracowników parków narodowych, dyrekcji ochrony środowiska, Lasów Państwowych i przedstawicieli organizacji pozarządowych.</w:t>
      </w:r>
    </w:p>
    <w:p w:rsidR="000C382F" w:rsidRPr="00DC15EF" w:rsidRDefault="000C382F">
      <w:pPr>
        <w:rPr>
          <w:b/>
          <w:bCs/>
        </w:rPr>
      </w:pPr>
      <w:r w:rsidRPr="00DC15EF">
        <w:rPr>
          <w:b/>
          <w:bCs/>
        </w:rPr>
        <w:t>Zakres tematyczny:</w:t>
      </w:r>
    </w:p>
    <w:p w:rsidR="000C382F" w:rsidRDefault="000C382F" w:rsidP="00DB68FA">
      <w:pPr>
        <w:numPr>
          <w:ilvl w:val="0"/>
          <w:numId w:val="2"/>
        </w:numPr>
      </w:pPr>
      <w:r>
        <w:t>Rola obszarów ochrony ścisłej w badaniach naukowych</w:t>
      </w:r>
    </w:p>
    <w:p w:rsidR="000C382F" w:rsidRDefault="000C382F" w:rsidP="00DB68FA">
      <w:pPr>
        <w:numPr>
          <w:ilvl w:val="0"/>
          <w:numId w:val="2"/>
        </w:numPr>
      </w:pPr>
      <w:r>
        <w:t>Relacje przestrzenne między ochroną ścisła a ochroną czynną w parkach narodowych</w:t>
      </w:r>
    </w:p>
    <w:p w:rsidR="000C382F" w:rsidRDefault="000C382F" w:rsidP="00DB68FA">
      <w:pPr>
        <w:numPr>
          <w:ilvl w:val="0"/>
          <w:numId w:val="2"/>
        </w:numPr>
      </w:pPr>
      <w:r>
        <w:t>Obszary ochrony ścisłej jako ostoje gatunków antropofobicznych</w:t>
      </w:r>
    </w:p>
    <w:p w:rsidR="000C382F" w:rsidRDefault="000C382F" w:rsidP="00DB68FA">
      <w:pPr>
        <w:numPr>
          <w:ilvl w:val="0"/>
          <w:numId w:val="2"/>
        </w:numPr>
      </w:pPr>
      <w:r>
        <w:t>Oddziaływanie obszarów ochrony ścisłej na sąsiednie tereny</w:t>
      </w:r>
    </w:p>
    <w:p w:rsidR="000C382F" w:rsidRDefault="000C382F" w:rsidP="00DB68FA">
      <w:pPr>
        <w:numPr>
          <w:ilvl w:val="0"/>
          <w:numId w:val="2"/>
        </w:numPr>
      </w:pPr>
      <w:r>
        <w:t>Postrzeganie ochrony ściślej przez osoby zwiedzające parki narodowe</w:t>
      </w:r>
    </w:p>
    <w:p w:rsidR="000C382F" w:rsidRDefault="000C382F">
      <w:r w:rsidRPr="00EB3D42">
        <w:rPr>
          <w:b/>
          <w:bCs/>
        </w:rPr>
        <w:t>Efekt końcowy</w:t>
      </w:r>
      <w:r>
        <w:t xml:space="preserve">: wydanie materiałów konferencyjnych (referaty + postery) w postaci osobnego tomu do końca 2017 roku </w:t>
      </w:r>
    </w:p>
    <w:p w:rsidR="000C382F" w:rsidRPr="00DC15EF" w:rsidRDefault="000C382F">
      <w:pPr>
        <w:rPr>
          <w:b/>
          <w:bCs/>
        </w:rPr>
      </w:pPr>
      <w:r w:rsidRPr="00DC15EF">
        <w:rPr>
          <w:b/>
          <w:bCs/>
        </w:rPr>
        <w:t>Ramowy program</w:t>
      </w:r>
    </w:p>
    <w:p w:rsidR="000C382F" w:rsidRDefault="000C382F">
      <w:r>
        <w:t>6 czerwca 2017: Kraków, referaty, wieczorem wyjazd do Zakopanego</w:t>
      </w:r>
    </w:p>
    <w:p w:rsidR="000C382F" w:rsidRDefault="000C382F">
      <w:r>
        <w:t>7 czerwca 2017: Zakopane, wyjście do doliny Kościeliskiej (do Smreczyńskiego Stawu), po południu w Zakopanem początek warsztatów i sesja plakatowa</w:t>
      </w:r>
    </w:p>
    <w:p w:rsidR="000C382F" w:rsidRDefault="000C382F">
      <w:r>
        <w:t>8 czerwca; dalszy ciąg warsztatów w Zakopanem, wyjścia w teren (dolina Bystrej, dolina Jaworzynki, Nosal, dolina Olczyska), podsumowanie konferencji</w:t>
      </w:r>
    </w:p>
    <w:p w:rsidR="000C382F" w:rsidRDefault="000C382F"/>
    <w:p w:rsidR="000C382F" w:rsidRDefault="000C382F"/>
    <w:p w:rsidR="000C382F" w:rsidRPr="00DC15EF" w:rsidRDefault="000C382F">
      <w:pPr>
        <w:rPr>
          <w:b/>
          <w:bCs/>
        </w:rPr>
      </w:pPr>
      <w:r w:rsidRPr="00DC15EF">
        <w:rPr>
          <w:b/>
          <w:bCs/>
        </w:rPr>
        <w:t xml:space="preserve">Ważne terminy: </w:t>
      </w:r>
    </w:p>
    <w:p w:rsidR="000C382F" w:rsidRDefault="000C382F">
      <w:r>
        <w:t>Otwarcie rejestracji: 22 lutego 2017</w:t>
      </w:r>
    </w:p>
    <w:p w:rsidR="000C382F" w:rsidRDefault="000C382F">
      <w:r>
        <w:t>Koniec I terminu rejestracji: 31 marca 2017</w:t>
      </w:r>
    </w:p>
    <w:p w:rsidR="000C382F" w:rsidRDefault="000C382F">
      <w:r>
        <w:t>Ostateczny termin przesłania streszczeń:  31 marca 2017</w:t>
      </w:r>
    </w:p>
    <w:p w:rsidR="000C382F" w:rsidRDefault="000C382F">
      <w:r>
        <w:t>Powiadomienie o zakwalifikowaniu streszczeń: 15 kwietnia 2017</w:t>
      </w:r>
    </w:p>
    <w:p w:rsidR="000C382F" w:rsidRDefault="000C382F">
      <w:r>
        <w:t>Koniec II terminu rejestracji: 15 kwietnia 2015</w:t>
      </w:r>
    </w:p>
    <w:p w:rsidR="000C382F" w:rsidRDefault="000C382F">
      <w:r>
        <w:t>I Termin realizacji opłaty konferencyjnej: 30 kwietnia 2017</w:t>
      </w:r>
    </w:p>
    <w:p w:rsidR="000C382F" w:rsidRDefault="000C382F" w:rsidP="00941885">
      <w:r>
        <w:t>II Termin realizacji opłaty konferencyjnej: 15 maja 2017</w:t>
      </w:r>
    </w:p>
    <w:p w:rsidR="000C382F" w:rsidRDefault="000C382F"/>
    <w:p w:rsidR="000C382F" w:rsidRPr="00DC15EF" w:rsidRDefault="000C382F">
      <w:pPr>
        <w:rPr>
          <w:b/>
          <w:bCs/>
        </w:rPr>
      </w:pPr>
      <w:r w:rsidRPr="00DC15EF">
        <w:rPr>
          <w:b/>
          <w:bCs/>
        </w:rPr>
        <w:t>Koszty Uczestnictwa:</w:t>
      </w:r>
    </w:p>
    <w:p w:rsidR="000C382F" w:rsidRDefault="000C382F">
      <w:r>
        <w:t>I termin: 600 zł  (doktoranci 400 zł)</w:t>
      </w:r>
    </w:p>
    <w:p w:rsidR="000C382F" w:rsidRDefault="000C382F">
      <w:r>
        <w:t>II termin 750 zł (doktoranci 500 zł)</w:t>
      </w:r>
    </w:p>
    <w:p w:rsidR="000C382F" w:rsidRDefault="000C382F">
      <w:pPr>
        <w:rPr>
          <w:b/>
          <w:bCs/>
        </w:rPr>
      </w:pPr>
    </w:p>
    <w:p w:rsidR="000C382F" w:rsidRDefault="000C382F">
      <w:r w:rsidRPr="0069455A">
        <w:rPr>
          <w:b/>
          <w:bCs/>
        </w:rPr>
        <w:t>Komitet Organizacyjny</w:t>
      </w:r>
      <w:r>
        <w:t>:</w:t>
      </w:r>
    </w:p>
    <w:p w:rsidR="000C382F" w:rsidRDefault="000C382F">
      <w:r>
        <w:t>Przewodnicząca: dr hab. Anna Gazda</w:t>
      </w:r>
    </w:p>
    <w:p w:rsidR="000C382F" w:rsidRDefault="000C382F">
      <w:r>
        <w:t>Członkowie: mgr Szymon Ziobrowski, dr hab. Jan Bodziarczyk, dr Magdalena Frączek, dr Janusz Szewczyk, dr Tomasz Zwijacz-Kozica, mgr Michał Adamus, mgr Jakub Baran, mgr arch. Kamil Kędra, mgr Antoni Zięba</w:t>
      </w:r>
    </w:p>
    <w:p w:rsidR="000C382F" w:rsidRDefault="000C382F">
      <w:r>
        <w:t>Sekretarz Konferencji: dr Elżbieta Muter</w:t>
      </w:r>
    </w:p>
    <w:p w:rsidR="000C382F" w:rsidRDefault="000C382F">
      <w:pPr>
        <w:rPr>
          <w:b/>
          <w:bCs/>
        </w:rPr>
      </w:pPr>
    </w:p>
    <w:p w:rsidR="000C382F" w:rsidRPr="00DC15EF" w:rsidRDefault="000C382F">
      <w:pPr>
        <w:rPr>
          <w:b/>
          <w:bCs/>
        </w:rPr>
      </w:pPr>
      <w:r>
        <w:rPr>
          <w:b/>
          <w:bCs/>
        </w:rPr>
        <w:t xml:space="preserve">Planowany </w:t>
      </w:r>
      <w:r w:rsidRPr="00DC15EF">
        <w:rPr>
          <w:b/>
          <w:bCs/>
        </w:rPr>
        <w:t xml:space="preserve">Komitet Naukowy: </w:t>
      </w:r>
    </w:p>
    <w:p w:rsidR="000C382F" w:rsidRPr="002E3E30" w:rsidRDefault="000C382F" w:rsidP="005C30A4">
      <w:r>
        <w:t xml:space="preserve">Przewodniczący: </w:t>
      </w:r>
      <w:r w:rsidRPr="002E3E30">
        <w:t xml:space="preserve">prof. dr hab. Jerzy Szwagrzyk </w:t>
      </w:r>
    </w:p>
    <w:p w:rsidR="000C382F" w:rsidRDefault="000C382F">
      <w:pPr>
        <w:rPr>
          <w:lang w:val="en-US"/>
        </w:rPr>
      </w:pPr>
      <w:r w:rsidRPr="002E3E30">
        <w:t xml:space="preserve">Członkowie: prof. dr hab. Bogdan Brzeziecki, prof. dr hab. </w:t>
      </w:r>
      <w:r w:rsidRPr="002E3E30">
        <w:rPr>
          <w:lang w:val="en-US"/>
        </w:rPr>
        <w:t>Jan Holeksa, Prof. dr hab. Zbigniew Mirek, prof. dr hab. Henryk Okarma</w:t>
      </w:r>
    </w:p>
    <w:p w:rsidR="000C382F" w:rsidRPr="002E3E30" w:rsidRDefault="000C382F">
      <w:pPr>
        <w:rPr>
          <w:lang w:val="en-US"/>
        </w:rPr>
      </w:pPr>
    </w:p>
    <w:p w:rsidR="000C382F" w:rsidRPr="002E3E30" w:rsidRDefault="000C382F" w:rsidP="000523EA">
      <w:pPr>
        <w:rPr>
          <w:lang w:val="en-US"/>
        </w:rPr>
      </w:pPr>
    </w:p>
    <w:p w:rsidR="000C382F" w:rsidRPr="00985347" w:rsidRDefault="000C382F" w:rsidP="000523EA">
      <w:pPr>
        <w:rPr>
          <w:b/>
          <w:bCs/>
          <w:lang w:val="en-US"/>
        </w:rPr>
      </w:pPr>
    </w:p>
    <w:p w:rsidR="000C382F" w:rsidRPr="00985347" w:rsidRDefault="000C382F" w:rsidP="000523EA">
      <w:pPr>
        <w:rPr>
          <w:b/>
          <w:bCs/>
          <w:lang w:val="en-US"/>
        </w:rPr>
      </w:pPr>
    </w:p>
    <w:sectPr w:rsidR="000C382F" w:rsidRPr="00985347" w:rsidSect="009F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A37D5"/>
    <w:multiLevelType w:val="hybridMultilevel"/>
    <w:tmpl w:val="1742882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F83463F"/>
    <w:multiLevelType w:val="hybridMultilevel"/>
    <w:tmpl w:val="D1C898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513"/>
    <w:rsid w:val="000150FF"/>
    <w:rsid w:val="000470ED"/>
    <w:rsid w:val="000523EA"/>
    <w:rsid w:val="00053CF9"/>
    <w:rsid w:val="000A786F"/>
    <w:rsid w:val="000C382F"/>
    <w:rsid w:val="000D18DC"/>
    <w:rsid w:val="000F503B"/>
    <w:rsid w:val="0015176A"/>
    <w:rsid w:val="001A47F4"/>
    <w:rsid w:val="001C3E5C"/>
    <w:rsid w:val="001E3D8B"/>
    <w:rsid w:val="002733A2"/>
    <w:rsid w:val="00293F0D"/>
    <w:rsid w:val="002E3E30"/>
    <w:rsid w:val="00344AF7"/>
    <w:rsid w:val="00380A3A"/>
    <w:rsid w:val="00392174"/>
    <w:rsid w:val="004B4763"/>
    <w:rsid w:val="004C7F29"/>
    <w:rsid w:val="00590BE2"/>
    <w:rsid w:val="00593930"/>
    <w:rsid w:val="005A4CE2"/>
    <w:rsid w:val="005C30A4"/>
    <w:rsid w:val="005F3970"/>
    <w:rsid w:val="00616C27"/>
    <w:rsid w:val="006862F8"/>
    <w:rsid w:val="0069455A"/>
    <w:rsid w:val="006C132C"/>
    <w:rsid w:val="006C2646"/>
    <w:rsid w:val="00713F59"/>
    <w:rsid w:val="00733B2D"/>
    <w:rsid w:val="00734FD3"/>
    <w:rsid w:val="00765687"/>
    <w:rsid w:val="0076638F"/>
    <w:rsid w:val="007C697C"/>
    <w:rsid w:val="00871566"/>
    <w:rsid w:val="00941885"/>
    <w:rsid w:val="00945420"/>
    <w:rsid w:val="00976000"/>
    <w:rsid w:val="009816C0"/>
    <w:rsid w:val="00983A2D"/>
    <w:rsid w:val="00985347"/>
    <w:rsid w:val="009C0551"/>
    <w:rsid w:val="009D2676"/>
    <w:rsid w:val="009F2113"/>
    <w:rsid w:val="00A379F2"/>
    <w:rsid w:val="00A4541C"/>
    <w:rsid w:val="00AB15A8"/>
    <w:rsid w:val="00AF2E3D"/>
    <w:rsid w:val="00B23E1C"/>
    <w:rsid w:val="00B748E6"/>
    <w:rsid w:val="00BD7513"/>
    <w:rsid w:val="00C400B8"/>
    <w:rsid w:val="00C57431"/>
    <w:rsid w:val="00C6347E"/>
    <w:rsid w:val="00D87C09"/>
    <w:rsid w:val="00DB68FA"/>
    <w:rsid w:val="00DC15EF"/>
    <w:rsid w:val="00E41278"/>
    <w:rsid w:val="00E7719E"/>
    <w:rsid w:val="00EB3D42"/>
    <w:rsid w:val="00FA10B8"/>
    <w:rsid w:val="00FB0583"/>
    <w:rsid w:val="00FE5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1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D751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FA10B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F3970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FA10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2</Pages>
  <Words>396</Words>
  <Characters>2380</Characters>
  <Application>Microsoft Office Outlook</Application>
  <DocSecurity>0</DocSecurity>
  <Lines>0</Lines>
  <Paragraphs>0</Paragraphs>
  <ScaleCrop>false</ScaleCrop>
  <Company>KBLiOP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 konferencji: </dc:title>
  <dc:subject/>
  <dc:creator>Jurek</dc:creator>
  <cp:keywords/>
  <dc:description/>
  <cp:lastModifiedBy>JurekS</cp:lastModifiedBy>
  <cp:revision>9</cp:revision>
  <cp:lastPrinted>2017-02-16T07:57:00Z</cp:lastPrinted>
  <dcterms:created xsi:type="dcterms:W3CDTF">2017-02-16T06:27:00Z</dcterms:created>
  <dcterms:modified xsi:type="dcterms:W3CDTF">2017-02-22T12:01:00Z</dcterms:modified>
</cp:coreProperties>
</file>