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404"/>
        <w:gridCol w:w="126"/>
      </w:tblGrid>
      <w:tr w:rsidR="000235BE" w:rsidRPr="000235BE" w:rsidTr="000235BE">
        <w:trPr>
          <w:tblCellSpacing w:w="15" w:type="dxa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5BE" w:rsidRPr="000235BE" w:rsidRDefault="000235BE" w:rsidP="000235BE">
            <w:pPr>
              <w:spacing w:after="0" w:line="240" w:lineRule="auto"/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</w:pPr>
            <w:r w:rsidRPr="000235BE">
              <w:rPr>
                <w:rFonts w:ascii="Arial" w:eastAsia="Calibri" w:hAnsi="Arial" w:cs="Arial"/>
                <w:noProof/>
                <w:color w:val="8A9344"/>
                <w:sz w:val="18"/>
                <w:szCs w:val="18"/>
                <w:lang w:eastAsia="pl-PL"/>
              </w:rPr>
              <w:drawing>
                <wp:inline distT="0" distB="0" distL="0" distR="0" wp14:anchorId="06AAFA82" wp14:editId="4B8AC297">
                  <wp:extent cx="1228725" cy="638175"/>
                  <wp:effectExtent l="0" t="0" r="9525" b="9525"/>
                  <wp:docPr id="8" name="Obraz 8" descr="cid:ed786dbb6d05f4ca571bb88d355e0785@swift.generated">
                    <a:hlinkClick xmlns:a="http://schemas.openxmlformats.org/drawingml/2006/main" r:id="rId5" tgtFrame="_self" tooltip="IUFRO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ed786dbb6d05f4ca571bb88d355e0785@swift.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5BE" w:rsidRPr="000235BE" w:rsidRDefault="000235BE" w:rsidP="000235BE">
            <w:pPr>
              <w:spacing w:after="0" w:line="360" w:lineRule="atLeast"/>
              <w:rPr>
                <w:rFonts w:ascii="Arial" w:eastAsia="Calibri" w:hAnsi="Arial" w:cs="Arial"/>
                <w:caps/>
                <w:color w:val="003C69"/>
                <w:sz w:val="35"/>
                <w:szCs w:val="35"/>
                <w:lang w:eastAsia="pl-PL"/>
              </w:rPr>
            </w:pPr>
            <w:r w:rsidRPr="000235BE">
              <w:rPr>
                <w:rFonts w:ascii="Arial" w:eastAsia="Calibri" w:hAnsi="Arial" w:cs="Arial"/>
                <w:caps/>
                <w:color w:val="8A9344"/>
                <w:sz w:val="35"/>
                <w:szCs w:val="35"/>
                <w:lang w:eastAsia="pl-PL"/>
              </w:rPr>
              <w:t>International Union</w:t>
            </w:r>
          </w:p>
          <w:p w:rsidR="000235BE" w:rsidRPr="000235BE" w:rsidRDefault="000235BE" w:rsidP="000235BE">
            <w:pPr>
              <w:spacing w:after="0" w:line="360" w:lineRule="atLeast"/>
              <w:rPr>
                <w:rFonts w:ascii="Arial" w:eastAsia="Calibri" w:hAnsi="Arial" w:cs="Arial"/>
                <w:caps/>
                <w:color w:val="003C69"/>
                <w:sz w:val="35"/>
                <w:szCs w:val="35"/>
                <w:lang w:eastAsia="pl-PL"/>
              </w:rPr>
            </w:pPr>
            <w:r w:rsidRPr="000235BE">
              <w:rPr>
                <w:rFonts w:ascii="Arial" w:eastAsia="Calibri" w:hAnsi="Arial" w:cs="Arial"/>
                <w:caps/>
                <w:color w:val="003C69"/>
                <w:sz w:val="35"/>
                <w:szCs w:val="35"/>
                <w:lang w:eastAsia="pl-PL"/>
              </w:rPr>
              <w:t>of Forest Research</w:t>
            </w:r>
          </w:p>
          <w:p w:rsidR="000235BE" w:rsidRPr="000235BE" w:rsidRDefault="000235BE" w:rsidP="000235BE">
            <w:pPr>
              <w:spacing w:after="0" w:line="360" w:lineRule="atLeast"/>
              <w:rPr>
                <w:rFonts w:ascii="Arial" w:eastAsia="Calibri" w:hAnsi="Arial" w:cs="Arial"/>
                <w:caps/>
                <w:color w:val="003C69"/>
                <w:sz w:val="35"/>
                <w:szCs w:val="35"/>
                <w:lang w:eastAsia="pl-PL"/>
              </w:rPr>
            </w:pPr>
            <w:r w:rsidRPr="000235BE">
              <w:rPr>
                <w:rFonts w:ascii="Arial" w:eastAsia="Calibri" w:hAnsi="Arial" w:cs="Arial"/>
                <w:caps/>
                <w:color w:val="003C69"/>
                <w:sz w:val="35"/>
                <w:szCs w:val="35"/>
                <w:lang w:eastAsia="pl-PL"/>
              </w:rPr>
              <w:t>Organizations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5BE" w:rsidRPr="000235BE" w:rsidRDefault="000235BE" w:rsidP="000235BE">
            <w:pPr>
              <w:spacing w:after="0" w:line="240" w:lineRule="auto"/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</w:pP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 </w:t>
            </w:r>
          </w:p>
        </w:tc>
      </w:tr>
      <w:tr w:rsidR="000235BE" w:rsidRPr="000235BE" w:rsidTr="000235BE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5BE" w:rsidRPr="000235BE" w:rsidRDefault="000235BE" w:rsidP="000235BE">
            <w:pPr>
              <w:shd w:val="clear" w:color="auto" w:fill="003A6A"/>
              <w:spacing w:before="300" w:after="360" w:line="240" w:lineRule="atLeast"/>
              <w:ind w:left="-300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pl-PL"/>
              </w:rPr>
            </w:pPr>
            <w:r w:rsidRPr="000235BE"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pl-PL"/>
              </w:rPr>
              <w:t>IUFRO - Call for Task Force Proposals</w:t>
            </w:r>
          </w:p>
          <w:p w:rsidR="000235BE" w:rsidRPr="000235BE" w:rsidRDefault="000235BE" w:rsidP="000235BE">
            <w:pPr>
              <w:spacing w:after="240" w:line="240" w:lineRule="auto"/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</w:pPr>
            <w:bookmarkStart w:id="0" w:name="28037"/>
            <w:bookmarkEnd w:id="0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IUFRO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established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on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temporary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basis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advance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inter</w:t>
            </w:r>
            <w:r w:rsidRPr="000235BE">
              <w:rPr>
                <w:rFonts w:ascii="Cambria Math" w:eastAsia="Calibri" w:hAnsi="Cambria Math" w:cs="Times New Roman"/>
                <w:color w:val="474747"/>
                <w:sz w:val="18"/>
                <w:szCs w:val="18"/>
                <w:lang w:eastAsia="pl-PL"/>
              </w:rPr>
              <w:t>‐</w:t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disciplinary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forest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science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cooperation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fields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spanning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IUFRO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Divisional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interests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They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focus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on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emerging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key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issues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that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strong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interest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policy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makers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groups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inside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outside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forest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sector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contribute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international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processes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Since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1991,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over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30 IUFRO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have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brought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together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scientists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, policy-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makers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other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stakeholders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conduct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innovative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work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across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broad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range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topics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.</w:t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  <w:t xml:space="preserve">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varied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but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commonly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involve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: development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expanded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global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collaboration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information-sharing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networks on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their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focal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topics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organization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meetings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workshops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publication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interdisciplinary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scientific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syntheses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as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books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special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issues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peer-reviewed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journals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presentations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in major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regional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global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science-policy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platforms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coordinators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non-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voting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members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the IUFRO Board,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invited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expected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attend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IUFRO's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annual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Board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meetings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. For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more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information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on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accomplishments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current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earlier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please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visit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: </w:t>
            </w:r>
            <w:hyperlink r:id="rId8" w:tgtFrame="_blank" w:tooltip="Opens external link in new window" w:history="1">
              <w:r w:rsidRPr="000235BE">
                <w:rPr>
                  <w:rFonts w:ascii="Arial" w:eastAsia="Calibri" w:hAnsi="Arial" w:cs="Arial"/>
                  <w:color w:val="8A9344"/>
                  <w:sz w:val="18"/>
                  <w:szCs w:val="18"/>
                  <w:u w:val="single"/>
                  <w:lang w:eastAsia="pl-PL"/>
                </w:rPr>
                <w:t>https://www.iufro.org/science/task-forces/</w:t>
              </w:r>
            </w:hyperlink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). </w:t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During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current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(2014-2019) Board term,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were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established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initial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2-year period with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possibility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additional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two-year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extension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. In order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encourage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across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full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spectrum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IUFRO's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disciplinary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expertise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we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continue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this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practice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This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enable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IUFRO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establish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new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on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periodic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basis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throughout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the 2019</w:t>
            </w:r>
            <w:r w:rsidRPr="000235BE">
              <w:rPr>
                <w:rFonts w:ascii="Cambria Math" w:eastAsia="Calibri" w:hAnsi="Cambria Math" w:cs="Times New Roman"/>
                <w:color w:val="474747"/>
                <w:sz w:val="18"/>
                <w:szCs w:val="18"/>
                <w:lang w:eastAsia="pl-PL"/>
              </w:rPr>
              <w:t>‐</w:t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2024 Term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take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advantage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emerging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needs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opportunities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. </w:t>
            </w:r>
          </w:p>
          <w:p w:rsidR="000235BE" w:rsidRPr="000235BE" w:rsidRDefault="000235BE" w:rsidP="000235BE">
            <w:pPr>
              <w:spacing w:after="0" w:line="240" w:lineRule="auto"/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</w:pPr>
            <w:bookmarkStart w:id="1" w:name="28038"/>
            <w:bookmarkEnd w:id="1"/>
            <w:r w:rsidRPr="000235BE">
              <w:rPr>
                <w:rFonts w:ascii="Arial" w:eastAsia="Calibri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SELECTION  CRITERIA</w:t>
            </w:r>
            <w:r w:rsidRPr="000235BE">
              <w:rPr>
                <w:rFonts w:ascii="Arial" w:eastAsia="Calibri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br/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Proposals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new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evaluated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on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following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criteria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: </w:t>
            </w:r>
          </w:p>
          <w:p w:rsidR="000235BE" w:rsidRPr="000235BE" w:rsidRDefault="000235BE" w:rsidP="000235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Potential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strengthen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inter</w:t>
            </w:r>
            <w:r w:rsidRPr="000235BE">
              <w:rPr>
                <w:rFonts w:ascii="Cambria Math" w:eastAsia="Times New Roman" w:hAnsi="Cambria Math" w:cs="Times New Roman"/>
                <w:b/>
                <w:bCs/>
                <w:color w:val="474747"/>
                <w:sz w:val="18"/>
                <w:szCs w:val="18"/>
                <w:lang w:eastAsia="pl-PL"/>
              </w:rPr>
              <w:t>‐</w:t>
            </w:r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Divisional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collaboration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on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specific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topics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global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relevance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related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to one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more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Emphasis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Areas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and/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Institutional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Goals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the IUFRO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Strategy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(1);</w:t>
            </w:r>
          </w:p>
          <w:p w:rsidR="000235BE" w:rsidRPr="000235BE" w:rsidRDefault="000235BE" w:rsidP="000235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Specific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contribution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Force to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addressing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broader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policy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processes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interdisciplinary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science</w:t>
            </w:r>
            <w:r w:rsidRPr="000235BE">
              <w:rPr>
                <w:rFonts w:ascii="Cambria Math" w:eastAsia="Times New Roman" w:hAnsi="Cambria Math" w:cs="Times New Roman"/>
                <w:b/>
                <w:bCs/>
                <w:color w:val="474747"/>
                <w:sz w:val="18"/>
                <w:szCs w:val="18"/>
                <w:lang w:eastAsia="pl-PL"/>
              </w:rPr>
              <w:t>‐</w:t>
            </w:r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policy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initiatives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;</w:t>
            </w:r>
          </w:p>
          <w:p w:rsidR="000235BE" w:rsidRPr="000235BE" w:rsidRDefault="000235BE" w:rsidP="000235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Engagement of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two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more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Divisions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by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involving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relevant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Divisional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units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Research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Groups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and/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Working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Parties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).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should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jointly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developed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with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relevant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IUFRO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Divisions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their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units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but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may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involve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additional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experts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currently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outside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the IUFRO network and partner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institutions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as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required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. </w:t>
            </w:r>
          </w:p>
          <w:p w:rsidR="000235BE" w:rsidRPr="000235BE" w:rsidRDefault="000235BE" w:rsidP="000235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should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not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duplicate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current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work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within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IUFRO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Divisions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, but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rather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complement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expand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their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;</w:t>
            </w:r>
          </w:p>
          <w:p w:rsidR="000235BE" w:rsidRPr="000235BE" w:rsidRDefault="000235BE" w:rsidP="000235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Rationale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their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involvement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of (non-IUFRO) partner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institutions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if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relevant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);</w:t>
            </w:r>
          </w:p>
          <w:p w:rsidR="000235BE" w:rsidRPr="000235BE" w:rsidRDefault="000235BE" w:rsidP="000235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membership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reflecting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required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spectrum of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scientific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expertise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including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both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natural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social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sciences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), </w:t>
            </w:r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as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well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as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geographical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cultural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gender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diversity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, and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providing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opportunities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early-career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scientists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;</w:t>
            </w:r>
          </w:p>
          <w:p w:rsidR="000235BE" w:rsidRPr="000235BE" w:rsidRDefault="000235BE" w:rsidP="000235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Clarity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timelines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their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deliverables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while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can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up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to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full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length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upcoming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IUFRO term (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until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July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2024 World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Congress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it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is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highly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recommended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that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consider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more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focused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to be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undertaken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in the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first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two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>year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i/>
                <w:iCs/>
                <w:color w:val="474747"/>
                <w:sz w:val="18"/>
                <w:szCs w:val="18"/>
                <w:lang w:eastAsia="pl-PL"/>
              </w:rPr>
              <w:t xml:space="preserve"> period</w:t>
            </w:r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;</w:t>
            </w:r>
          </w:p>
          <w:p w:rsidR="000235BE" w:rsidRPr="000235BE" w:rsidRDefault="000235BE" w:rsidP="000235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Clarity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operational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aspects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roles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responsibilities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coordinator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members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roles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responsibilities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partners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involved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if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any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budget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funding</w:t>
            </w:r>
            <w:proofErr w:type="spellEnd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sources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.</w:t>
            </w:r>
          </w:p>
          <w:p w:rsidR="000235BE" w:rsidRPr="000235BE" w:rsidRDefault="000235BE" w:rsidP="000235BE">
            <w:pPr>
              <w:spacing w:after="240" w:line="240" w:lineRule="auto"/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</w:pP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(1)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Please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refer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the IUFRO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Strategy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hyperlink r:id="rId9" w:tgtFrame="_blank" w:history="1">
              <w:r w:rsidRPr="000235BE">
                <w:rPr>
                  <w:rFonts w:ascii="Arial" w:eastAsia="Calibri" w:hAnsi="Arial" w:cs="Arial"/>
                  <w:color w:val="8A9344"/>
                  <w:sz w:val="18"/>
                  <w:szCs w:val="18"/>
                  <w:u w:val="single"/>
                  <w:lang w:eastAsia="pl-PL"/>
                </w:rPr>
                <w:t>https://www.iufro.org/discover/strategy/</w:t>
              </w:r>
            </w:hyperlink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details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.</w:t>
            </w:r>
          </w:p>
          <w:p w:rsidR="000235BE" w:rsidRPr="000235BE" w:rsidRDefault="000235BE" w:rsidP="000235BE">
            <w:pPr>
              <w:spacing w:after="240" w:line="240" w:lineRule="auto"/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</w:pPr>
            <w:bookmarkStart w:id="2" w:name="28039"/>
            <w:bookmarkEnd w:id="2"/>
            <w:r w:rsidRPr="000235BE">
              <w:rPr>
                <w:rFonts w:ascii="Arial" w:eastAsia="Calibri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PROCEDURE FOR ESTABLISHMENT OF NEW TASK FORCES FOR THE 2019-2024 TERM</w:t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  <w:t xml:space="preserve">In order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proceed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with the development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new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prior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the start of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new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Board term in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October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2019, we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invite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IUFRO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officeholders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members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prepare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by 31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December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2018,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short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1-2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page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Concept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Note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that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provides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brief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statement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objectives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/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aims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within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the 2-year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time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frame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This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reviewed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by IUFRO Board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members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in January 2019,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who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provide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comments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as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well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as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suggestions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regarding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scientists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from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Divisions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who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may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particularly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interested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joining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lastRenderedPageBreak/>
              <w:t>proposed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Force. </w:t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</w: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If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concept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note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viewed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favorably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by the Board,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then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full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proposal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requested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with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due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date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full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proposals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31 March for 2019.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proposals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reviewed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(in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early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April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2019) by the Vice</w:t>
            </w:r>
            <w:r w:rsidRPr="000235BE">
              <w:rPr>
                <w:rFonts w:ascii="Cambria Math" w:eastAsia="Calibri" w:hAnsi="Cambria Math" w:cs="Times New Roman"/>
                <w:color w:val="474747"/>
                <w:sz w:val="18"/>
                <w:szCs w:val="18"/>
                <w:lang w:eastAsia="pl-PL"/>
              </w:rPr>
              <w:t>‐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President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consultation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with the IUFRO Management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Committee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other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members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of the IUFRO Board.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If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revisions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required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following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proposal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review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prospective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coordinators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asked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prepare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final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revised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proposal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by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late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May 2019,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after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which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final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decision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on the establishment of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new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Forces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within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the 2-year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time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frame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made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by the IUFRO Board in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early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June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2019.</w:t>
            </w:r>
          </w:p>
          <w:p w:rsidR="000235BE" w:rsidRPr="000235BE" w:rsidRDefault="000235BE" w:rsidP="000235BE">
            <w:pPr>
              <w:spacing w:after="240" w:line="240" w:lineRule="auto"/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</w:pPr>
            <w:bookmarkStart w:id="3" w:name="28040"/>
            <w:bookmarkEnd w:id="3"/>
            <w:r w:rsidRPr="000235BE">
              <w:rPr>
                <w:rFonts w:ascii="Arial" w:eastAsia="Calibri" w:hAnsi="Arial" w:cs="Arial"/>
                <w:b/>
                <w:bCs/>
                <w:color w:val="474747"/>
                <w:sz w:val="18"/>
                <w:szCs w:val="18"/>
                <w:lang w:eastAsia="pl-PL"/>
              </w:rPr>
              <w:t>FORMAT FOR FULL PROPOSALS FOR NEW TASK FORCES</w:t>
            </w:r>
          </w:p>
          <w:p w:rsidR="000235BE" w:rsidRPr="000235BE" w:rsidRDefault="000235BE" w:rsidP="000235B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Name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</w:t>
            </w:r>
          </w:p>
          <w:p w:rsidR="000235BE" w:rsidRPr="000235BE" w:rsidRDefault="000235BE" w:rsidP="000235B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Name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coordinator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affiliation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including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IUFRO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position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)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contact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information</w:t>
            </w:r>
            <w:proofErr w:type="spellEnd"/>
          </w:p>
          <w:p w:rsidR="000235BE" w:rsidRPr="000235BE" w:rsidRDefault="000235BE" w:rsidP="000235B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Names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members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their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affiliations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including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IUFRO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positions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experience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roles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in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Force,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contact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information</w:t>
            </w:r>
            <w:proofErr w:type="spellEnd"/>
          </w:p>
          <w:p w:rsidR="000235BE" w:rsidRPr="000235BE" w:rsidRDefault="000235BE" w:rsidP="000235B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Brief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overview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rationale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goals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objectives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 (1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paragraph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)</w:t>
            </w:r>
          </w:p>
          <w:p w:rsidR="000235BE" w:rsidRPr="000235BE" w:rsidRDefault="000235BE" w:rsidP="000235B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Description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specific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deliverables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timelines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This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should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include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planned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focused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meetings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tangible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outputs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such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as ‘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state</w:t>
            </w:r>
            <w:proofErr w:type="spellEnd"/>
            <w:r w:rsidRPr="000235BE">
              <w:rPr>
                <w:rFonts w:ascii="Cambria Math" w:eastAsia="Times New Roman" w:hAnsi="Cambria Math" w:cs="Times New Roman"/>
                <w:color w:val="474747"/>
                <w:sz w:val="18"/>
                <w:szCs w:val="18"/>
                <w:lang w:eastAsia="pl-PL"/>
              </w:rPr>
              <w:t>‐</w:t>
            </w:r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of</w:t>
            </w:r>
            <w:r w:rsidRPr="000235BE">
              <w:rPr>
                <w:rFonts w:ascii="Cambria Math" w:eastAsia="Times New Roman" w:hAnsi="Cambria Math" w:cs="Times New Roman"/>
                <w:color w:val="474747"/>
                <w:sz w:val="18"/>
                <w:szCs w:val="18"/>
                <w:lang w:eastAsia="pl-PL"/>
              </w:rPr>
              <w:t>‐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knowledge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'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reviews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journal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papers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dedicated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volumes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, etc.</w:t>
            </w:r>
          </w:p>
          <w:p w:rsidR="000235BE" w:rsidRPr="000235BE" w:rsidRDefault="000235BE" w:rsidP="000235B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Budget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table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listing major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funding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sources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if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known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indicate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if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these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funds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are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already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secured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.</w:t>
            </w:r>
          </w:p>
          <w:p w:rsidR="000235BE" w:rsidRPr="000235BE" w:rsidRDefault="000235BE" w:rsidP="000235B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Narrative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addressing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following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:</w:t>
            </w:r>
          </w:p>
          <w:p w:rsidR="000235BE" w:rsidRPr="000235BE" w:rsidRDefault="000235BE" w:rsidP="000235BE">
            <w:pPr>
              <w:numPr>
                <w:ilvl w:val="1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Contribution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implementation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the IUFRO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Strategy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;</w:t>
            </w:r>
          </w:p>
          <w:p w:rsidR="000235BE" w:rsidRPr="000235BE" w:rsidRDefault="000235BE" w:rsidP="000235BE">
            <w:pPr>
              <w:numPr>
                <w:ilvl w:val="1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How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strengthen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cross</w:t>
            </w:r>
            <w:r w:rsidRPr="000235BE">
              <w:rPr>
                <w:rFonts w:ascii="Cambria Math" w:eastAsia="Times New Roman" w:hAnsi="Cambria Math" w:cs="Times New Roman"/>
                <w:color w:val="474747"/>
                <w:sz w:val="18"/>
                <w:szCs w:val="18"/>
                <w:lang w:eastAsia="pl-PL"/>
              </w:rPr>
              <w:t>‐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Divisional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interaction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on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specified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topics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related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to IUFRO 2019</w:t>
            </w:r>
            <w:r w:rsidRPr="000235BE">
              <w:rPr>
                <w:rFonts w:ascii="Cambria Math" w:eastAsia="Times New Roman" w:hAnsi="Cambria Math" w:cs="Times New Roman"/>
                <w:color w:val="474747"/>
                <w:sz w:val="18"/>
                <w:szCs w:val="18"/>
                <w:lang w:eastAsia="pl-PL"/>
              </w:rPr>
              <w:t>‐</w:t>
            </w:r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2024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Strategy's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Emphasis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Areas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and/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Institutional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Goals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, and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how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will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complement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and/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expand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activities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existing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IUFRO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Divisional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units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;</w:t>
            </w:r>
          </w:p>
          <w:p w:rsidR="000235BE" w:rsidRPr="000235BE" w:rsidRDefault="000235BE" w:rsidP="000235BE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</w:pP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Specific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contribution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proposed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Task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Force to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addressing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broader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policy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processes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or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interdisciplinary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 xml:space="preserve"> science-policy </w:t>
            </w:r>
            <w:proofErr w:type="spellStart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initiatives</w:t>
            </w:r>
            <w:proofErr w:type="spellEnd"/>
            <w:r w:rsidRPr="000235BE">
              <w:rPr>
                <w:rFonts w:ascii="Arial" w:eastAsia="Times New Roman" w:hAnsi="Arial" w:cs="Arial"/>
                <w:color w:val="474747"/>
                <w:sz w:val="18"/>
                <w:szCs w:val="18"/>
                <w:lang w:eastAsia="pl-PL"/>
              </w:rPr>
              <w:t>.</w:t>
            </w:r>
          </w:p>
          <w:p w:rsidR="000235BE" w:rsidRPr="000235BE" w:rsidRDefault="000235BE" w:rsidP="000235BE">
            <w:pPr>
              <w:spacing w:after="240" w:line="240" w:lineRule="auto"/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</w:pPr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Concept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Notes and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full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proposals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should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sent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  to  John 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Parrotta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hyperlink r:id="rId10" w:history="1">
              <w:r w:rsidRPr="000235BE">
                <w:rPr>
                  <w:rFonts w:ascii="Arial" w:eastAsia="Calibri" w:hAnsi="Arial" w:cs="Arial"/>
                  <w:color w:val="8A9344"/>
                  <w:sz w:val="18"/>
                  <w:szCs w:val="18"/>
                  <w:u w:val="single"/>
                  <w:lang w:eastAsia="pl-PL"/>
                </w:rPr>
                <w:t>jparrotta@fs.fed.us</w:t>
              </w:r>
            </w:hyperlink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with a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copy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Renate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Prüller</w:t>
            </w:r>
            <w:proofErr w:type="spellEnd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 xml:space="preserve">, </w:t>
            </w:r>
            <w:hyperlink r:id="rId11" w:history="1">
              <w:r w:rsidRPr="000235BE">
                <w:rPr>
                  <w:rFonts w:ascii="Arial" w:eastAsia="Calibri" w:hAnsi="Arial" w:cs="Arial"/>
                  <w:color w:val="8A9344"/>
                  <w:sz w:val="18"/>
                  <w:szCs w:val="18"/>
                  <w:u w:val="single"/>
                  <w:lang w:eastAsia="pl-PL"/>
                </w:rPr>
                <w:t>prueller@iufro.org</w:t>
              </w:r>
            </w:hyperlink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t>.</w:t>
            </w:r>
          </w:p>
          <w:p w:rsidR="000235BE" w:rsidRPr="000235BE" w:rsidRDefault="000235BE" w:rsidP="000235BE">
            <w:pPr>
              <w:spacing w:after="240" w:line="240" w:lineRule="auto"/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</w:pPr>
            <w:bookmarkStart w:id="4" w:name="28041"/>
            <w:bookmarkEnd w:id="4"/>
            <w:r w:rsidRPr="000235BE">
              <w:rPr>
                <w:rFonts w:ascii="Arial" w:eastAsia="Calibri" w:hAnsi="Arial" w:cs="Arial"/>
                <w:color w:val="474747"/>
                <w:sz w:val="18"/>
                <w:szCs w:val="18"/>
                <w:lang w:eastAsia="pl-PL"/>
              </w:rPr>
              <w:br/>
            </w:r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______________________________________________</w:t>
            </w:r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br/>
            </w:r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br/>
            </w:r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br/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You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are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receiving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this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message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because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you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are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an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IUFRO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member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or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officeholder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.</w:t>
            </w:r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br/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Contact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us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at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hyperlink r:id="rId12" w:history="1">
              <w:r w:rsidRPr="000235BE">
                <w:rPr>
                  <w:rFonts w:ascii="Arial" w:eastAsia="Calibri" w:hAnsi="Arial" w:cs="Arial"/>
                  <w:i/>
                  <w:iCs/>
                  <w:color w:val="8A9344"/>
                  <w:sz w:val="17"/>
                  <w:szCs w:val="17"/>
                  <w:u w:val="single"/>
                  <w:lang w:eastAsia="pl-PL"/>
                </w:rPr>
                <w:t>office@iufro.org</w:t>
              </w:r>
            </w:hyperlink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or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visit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 </w:t>
            </w:r>
            <w:hyperlink r:id="rId13" w:tgtFrame="_blank" w:tooltip="Opens external link in new window" w:history="1">
              <w:r w:rsidRPr="000235BE">
                <w:rPr>
                  <w:rFonts w:ascii="Arial" w:eastAsia="Calibri" w:hAnsi="Arial" w:cs="Arial"/>
                  <w:i/>
                  <w:iCs/>
                  <w:color w:val="8A9344"/>
                  <w:sz w:val="17"/>
                  <w:szCs w:val="17"/>
                  <w:u w:val="single"/>
                  <w:lang w:eastAsia="pl-PL"/>
                </w:rPr>
                <w:t>https://www.iufro.org/</w:t>
              </w:r>
            </w:hyperlink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br/>
            </w:r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br/>
              <w:t xml:space="preserve">IUFRO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Headquarters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,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Marxergasse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2, 1030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Vienna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, Austria.</w:t>
            </w:r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br/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Imprint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: </w:t>
            </w:r>
            <w:hyperlink r:id="rId14" w:anchor="c74" w:tgtFrame="_blank" w:tooltip="Opens external link in new window" w:history="1">
              <w:r w:rsidRPr="000235BE">
                <w:rPr>
                  <w:rFonts w:ascii="Arial" w:eastAsia="Calibri" w:hAnsi="Arial" w:cs="Arial"/>
                  <w:i/>
                  <w:iCs/>
                  <w:color w:val="8A9344"/>
                  <w:sz w:val="17"/>
                  <w:szCs w:val="17"/>
                  <w:u w:val="single"/>
                  <w:lang w:eastAsia="pl-PL"/>
                </w:rPr>
                <w:t>https://www.iufro.org/legal/#c74</w:t>
              </w:r>
            </w:hyperlink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  *  </w:t>
            </w:r>
            <w:proofErr w:type="spellStart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>Privacy</w:t>
            </w:r>
            <w:proofErr w:type="spellEnd"/>
            <w:r w:rsidRPr="000235BE">
              <w:rPr>
                <w:rFonts w:ascii="Arial" w:eastAsia="Calibri" w:hAnsi="Arial" w:cs="Arial"/>
                <w:i/>
                <w:iCs/>
                <w:color w:val="474747"/>
                <w:sz w:val="17"/>
                <w:szCs w:val="17"/>
                <w:lang w:eastAsia="pl-PL"/>
              </w:rPr>
              <w:t xml:space="preserve"> policy: </w:t>
            </w:r>
            <w:hyperlink r:id="rId15" w:anchor="c10397" w:tgtFrame="_blank" w:tooltip="Opens external link in new window" w:history="1">
              <w:r w:rsidRPr="000235BE">
                <w:rPr>
                  <w:rFonts w:ascii="Arial" w:eastAsia="Calibri" w:hAnsi="Arial" w:cs="Arial"/>
                  <w:i/>
                  <w:iCs/>
                  <w:color w:val="8A9344"/>
                  <w:sz w:val="17"/>
                  <w:szCs w:val="17"/>
                  <w:u w:val="single"/>
                  <w:lang w:eastAsia="pl-PL"/>
                </w:rPr>
                <w:t>https://www.iufro.org/legal/#c10397</w:t>
              </w:r>
            </w:hyperlink>
          </w:p>
        </w:tc>
      </w:tr>
    </w:tbl>
    <w:p w:rsidR="00DE43ED" w:rsidRDefault="00DE43ED">
      <w:bookmarkStart w:id="5" w:name="_GoBack"/>
      <w:bookmarkEnd w:id="5"/>
    </w:p>
    <w:sectPr w:rsidR="00DE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1152"/>
    <w:multiLevelType w:val="multilevel"/>
    <w:tmpl w:val="3FF4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94BB1"/>
    <w:multiLevelType w:val="multilevel"/>
    <w:tmpl w:val="133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BE"/>
    <w:rsid w:val="000235BE"/>
    <w:rsid w:val="00D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A8FD7-2343-44C2-8B3D-6D4210F4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fro.org/science/task-forces/" TargetMode="External"/><Relationship Id="rId13" Type="http://schemas.openxmlformats.org/officeDocument/2006/relationships/hyperlink" Target="https://www.iufro.org/" TargetMode="External"/><Relationship Id="rId3" Type="http://schemas.openxmlformats.org/officeDocument/2006/relationships/settings" Target="settings.xml"/><Relationship Id="rId7" Type="http://schemas.openxmlformats.org/officeDocument/2006/relationships/image" Target="cid:ed786dbb6d05f4ca571bb88d355e0785@swift.generated" TargetMode="External"/><Relationship Id="rId12" Type="http://schemas.openxmlformats.org/officeDocument/2006/relationships/hyperlink" Target="mailto:office@iufro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ueller@iufro.org" TargetMode="External"/><Relationship Id="rId5" Type="http://schemas.openxmlformats.org/officeDocument/2006/relationships/hyperlink" Target="http://www.iufro.org/" TargetMode="External"/><Relationship Id="rId15" Type="http://schemas.openxmlformats.org/officeDocument/2006/relationships/hyperlink" Target="https://www.iufro.org/legal/" TargetMode="External"/><Relationship Id="rId10" Type="http://schemas.openxmlformats.org/officeDocument/2006/relationships/hyperlink" Target="mailto:jparrotta@fs.fe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fro.org/discover/strategy/" TargetMode="External"/><Relationship Id="rId14" Type="http://schemas.openxmlformats.org/officeDocument/2006/relationships/hyperlink" Target="https://www.iufro.org/leg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Małecka</dc:creator>
  <cp:keywords/>
  <dc:description/>
  <cp:lastModifiedBy>Monika Małecka</cp:lastModifiedBy>
  <cp:revision>1</cp:revision>
  <dcterms:created xsi:type="dcterms:W3CDTF">2018-10-22T07:37:00Z</dcterms:created>
  <dcterms:modified xsi:type="dcterms:W3CDTF">2018-10-22T07:38:00Z</dcterms:modified>
</cp:coreProperties>
</file>